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1964" w:firstLineChars="545"/>
        <w:rPr>
          <w:b/>
          <w:bCs/>
          <w:sz w:val="36"/>
          <w:szCs w:val="36"/>
        </w:rPr>
      </w:pPr>
    </w:p>
    <w:p>
      <w:pPr>
        <w:spacing w:line="320" w:lineRule="exact"/>
        <w:ind w:firstLine="3405" w:firstLineChars="94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Cetrimide Agar Base</w:t>
      </w:r>
    </w:p>
    <w:p>
      <w:pPr>
        <w:spacing w:line="320" w:lineRule="exact"/>
        <w:ind w:firstLine="1146" w:firstLineChars="545"/>
        <w:jc w:val="center"/>
        <w:rPr>
          <w:b/>
          <w:bCs/>
          <w:szCs w:val="21"/>
        </w:rPr>
      </w:pPr>
    </w:p>
    <w:tbl>
      <w:tblPr>
        <w:tblStyle w:val="11"/>
        <w:tblW w:w="9521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No.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Product Category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szCs w:val="21"/>
              </w:rPr>
            </w:pPr>
            <w:r>
              <w:rPr>
                <w:rFonts w:eastAsia="微软雅黑"/>
                <w:b/>
                <w:bCs/>
                <w:szCs w:val="21"/>
              </w:rPr>
              <w:t>Specification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73" w:type="dxa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HCM047</w:t>
            </w:r>
          </w:p>
        </w:tc>
        <w:tc>
          <w:tcPr>
            <w:tcW w:w="3174" w:type="dxa"/>
          </w:tcPr>
          <w:p>
            <w:pPr>
              <w:tabs>
                <w:tab w:val="center" w:pos="1782"/>
              </w:tabs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rFonts w:eastAsia="微软雅黑"/>
                <w:bCs/>
                <w:szCs w:val="21"/>
              </w:rPr>
              <w:t>Dehydrated Culture Medium</w:t>
            </w:r>
          </w:p>
        </w:tc>
        <w:tc>
          <w:tcPr>
            <w:tcW w:w="3174" w:type="dxa"/>
          </w:tcPr>
          <w:p>
            <w:pPr>
              <w:spacing w:line="320" w:lineRule="exact"/>
              <w:jc w:val="center"/>
              <w:rPr>
                <w:rFonts w:eastAsia="微软雅黑"/>
                <w:bCs/>
                <w:szCs w:val="21"/>
              </w:rPr>
            </w:pPr>
            <w:r>
              <w:rPr>
                <w:kern w:val="0"/>
                <w:szCs w:val="21"/>
              </w:rPr>
              <w:t>500g/bottle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Intended Use</w:t>
      </w:r>
    </w:p>
    <w:p>
      <w:pPr>
        <w:spacing w:line="320" w:lineRule="exact"/>
        <w:ind w:right="338" w:rightChars="161"/>
        <w:rPr>
          <w:kern w:val="0"/>
          <w:szCs w:val="21"/>
        </w:rPr>
      </w:pPr>
      <w:r>
        <w:rPr>
          <w:rFonts w:eastAsia="微软雅黑"/>
          <w:bCs/>
          <w:szCs w:val="21"/>
        </w:rPr>
        <w:t xml:space="preserve">For isolation and enumeration of </w:t>
      </w:r>
      <w:r>
        <w:rPr>
          <w:rFonts w:hint="default" w:ascii="Times New Roman Italic" w:hAnsi="Times New Roman Italic" w:eastAsia="微软雅黑" w:cs="Times New Roman Italic"/>
          <w:bCs/>
          <w:i/>
          <w:iCs/>
          <w:szCs w:val="21"/>
        </w:rPr>
        <w:t xml:space="preserve">Pseudomonas aeruginosa </w:t>
      </w:r>
      <w:r>
        <w:rPr>
          <w:rFonts w:eastAsia="微软雅黑"/>
          <w:bCs/>
          <w:szCs w:val="21"/>
        </w:rPr>
        <w:t>in water samples.</w:t>
      </w: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Principle and Interpretation</w:t>
      </w:r>
    </w:p>
    <w:p>
      <w:pPr>
        <w:spacing w:line="320" w:lineRule="exact"/>
        <w:rPr>
          <w:kern w:val="0"/>
          <w:szCs w:val="21"/>
        </w:rPr>
      </w:pPr>
      <w:r>
        <w:rPr>
          <w:kern w:val="0"/>
          <w:szCs w:val="21"/>
        </w:rPr>
        <w:t>Peptone provide nitrogen; glycerol carbon source; potassium and magnesium can promote green pus pigment production; hexadecyl trimethyl ammonium bromide is a selective antibacterial agent, as a quaternary ammonium salt cationic detergent may bacterial cells release nitrogen and phosphorus and suppress non-Pseudomonas aeruginosa bacteria; agar is medium coagulant.</w:t>
      </w:r>
    </w:p>
    <w:p>
      <w:pPr>
        <w:spacing w:line="320" w:lineRule="exact"/>
        <w:ind w:left="90" w:leftChars="43"/>
        <w:rPr>
          <w:rFonts w:eastAsia="微软雅黑"/>
          <w:bCs/>
          <w:szCs w:val="21"/>
        </w:rPr>
      </w:pPr>
    </w:p>
    <w:p>
      <w:pPr>
        <w:spacing w:line="320" w:lineRule="exact"/>
        <w:ind w:right="338" w:rightChars="161"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Formulation</w:t>
      </w:r>
    </w:p>
    <w:tbl>
      <w:tblPr>
        <w:tblStyle w:val="11"/>
        <w:tblpPr w:leftFromText="180" w:rightFromText="180" w:vertAnchor="text" w:tblpX="15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7"/>
        <w:gridCol w:w="3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6" w:hRule="atLeas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Ingredients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rFonts w:eastAsia="微软雅黑"/>
                <w:b/>
                <w:color w:val="000000"/>
                <w:szCs w:val="21"/>
              </w:rPr>
            </w:pPr>
            <w:r>
              <w:rPr>
                <w:rFonts w:eastAsia="微软雅黑"/>
                <w:b/>
                <w:color w:val="000000"/>
                <w:szCs w:val="21"/>
              </w:rPr>
              <w:t>/liter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Pancreatic </w:t>
            </w:r>
            <w:r>
              <w:rPr>
                <w:bCs/>
                <w:color w:val="000000"/>
                <w:szCs w:val="21"/>
              </w:rPr>
              <w:t>d</w:t>
            </w:r>
            <w:r>
              <w:rPr>
                <w:bCs/>
                <w:color w:val="000000"/>
                <w:szCs w:val="21"/>
              </w:rPr>
              <w:t xml:space="preserve">igest of </w:t>
            </w:r>
            <w:r>
              <w:rPr>
                <w:bCs/>
                <w:color w:val="000000"/>
                <w:szCs w:val="21"/>
              </w:rPr>
              <w:t>p</w:t>
            </w:r>
            <w:r>
              <w:rPr>
                <w:bCs/>
                <w:color w:val="000000"/>
                <w:szCs w:val="21"/>
              </w:rPr>
              <w:t>eptone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Magnesium </w:t>
            </w:r>
            <w:r>
              <w:rPr>
                <w:bCs/>
                <w:color w:val="000000"/>
                <w:szCs w:val="21"/>
              </w:rPr>
              <w:t>c</w:t>
            </w:r>
            <w:r>
              <w:rPr>
                <w:bCs/>
                <w:color w:val="000000"/>
                <w:szCs w:val="21"/>
              </w:rPr>
              <w:t>hloride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pPr>
              <w:rPr>
                <w:bCs/>
                <w:color w:val="000000"/>
                <w:szCs w:val="21"/>
              </w:rPr>
            </w:pPr>
            <w:r>
              <w:t xml:space="preserve">Dipotassium </w:t>
            </w:r>
            <w:r>
              <w:t>s</w:t>
            </w:r>
            <w:r>
              <w:t>ul</w:t>
            </w:r>
            <w:r>
              <w:t>f</w:t>
            </w:r>
            <w:r>
              <w:t>ate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10.0g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t>Cetrimide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0.3g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6037" w:type="dxa"/>
            <w:shd w:val="clear" w:color="auto" w:fill="FFFFFF"/>
            <w:vAlign w:val="center"/>
          </w:tcPr>
          <w:p>
            <w:r>
              <w:t>Agar</w:t>
            </w:r>
          </w:p>
        </w:tc>
        <w:tc>
          <w:tcPr>
            <w:tcW w:w="3377" w:type="dxa"/>
            <w:shd w:val="clear" w:color="auto" w:fill="FFFFFF"/>
            <w:vAlign w:val="center"/>
          </w:tcPr>
          <w:p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13.6g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exact"/>
        </w:trPr>
        <w:tc>
          <w:tcPr>
            <w:tcW w:w="9414" w:type="dxa"/>
            <w:gridSpan w:val="2"/>
            <w:shd w:val="clear" w:color="auto" w:fill="FFFFFF"/>
            <w:vAlign w:val="center"/>
          </w:tcPr>
          <w:p>
            <w:pPr>
              <w:rPr>
                <w:rFonts w:eastAsia="微软雅黑"/>
                <w:bCs/>
                <w:color w:val="000000"/>
                <w:szCs w:val="21"/>
              </w:rPr>
            </w:pPr>
            <w:r>
              <w:rPr>
                <w:rFonts w:eastAsia="微软雅黑"/>
                <w:bCs/>
                <w:color w:val="000000"/>
                <w:szCs w:val="21"/>
              </w:rPr>
              <w:t>pH</w:t>
            </w:r>
            <w:r>
              <w:rPr>
                <w:rFonts w:hint="eastAsia"/>
                <w:bCs/>
                <w:color w:val="000000"/>
                <w:szCs w:val="21"/>
              </w:rPr>
              <w:t>7.2</w:t>
            </w:r>
            <w:r>
              <w:rPr>
                <w:rFonts w:eastAsia="微软雅黑"/>
                <w:bCs/>
                <w:color w:val="000000"/>
                <w:szCs w:val="21"/>
              </w:rPr>
              <w:t>±0.2 at 25°C</w:t>
            </w:r>
          </w:p>
        </w:tc>
      </w:tr>
    </w:tbl>
    <w:p>
      <w:pPr>
        <w:spacing w:line="320" w:lineRule="exact"/>
        <w:rPr>
          <w:b/>
          <w:bCs/>
          <w:szCs w:val="21"/>
        </w:rPr>
      </w:pPr>
    </w:p>
    <w:p>
      <w:pPr>
        <w:spacing w:line="320" w:lineRule="exact"/>
        <w:rPr>
          <w:b/>
          <w:bCs/>
          <w:szCs w:val="21"/>
        </w:rPr>
      </w:pPr>
      <w:r>
        <w:rPr>
          <w:rFonts w:eastAsia="微软雅黑"/>
          <w:b/>
          <w:bCs/>
          <w:szCs w:val="21"/>
        </w:rPr>
        <w:t>Preparation</w:t>
      </w:r>
    </w:p>
    <w:p>
      <w:pPr>
        <w:spacing w:line="320" w:lineRule="exact"/>
        <w:ind w:right="338" w:rightChars="161"/>
        <w:rPr>
          <w:rFonts w:eastAsia="宋体"/>
          <w:color w:val="000000"/>
          <w:kern w:val="0"/>
          <w:sz w:val="20"/>
          <w:szCs w:val="20"/>
        </w:rPr>
      </w:pPr>
      <w:r>
        <w:rPr>
          <w:rFonts w:eastAsia="宋体"/>
          <w:color w:val="000000"/>
          <w:kern w:val="0"/>
          <w:sz w:val="20"/>
          <w:szCs w:val="20"/>
        </w:rPr>
        <w:t>Suspend 45.3 g/</w:t>
      </w:r>
      <w:r>
        <w:rPr>
          <w:rFonts w:eastAsia="宋体"/>
          <w:caps/>
          <w:smallCaps w:val="0"/>
          <w:color w:val="000000"/>
          <w:kern w:val="0"/>
          <w:sz w:val="20"/>
          <w:szCs w:val="20"/>
        </w:rPr>
        <w:t>l</w:t>
      </w:r>
      <w:r>
        <w:rPr>
          <w:rFonts w:eastAsia="宋体"/>
          <w:color w:val="000000"/>
          <w:kern w:val="0"/>
          <w:sz w:val="20"/>
          <w:szCs w:val="20"/>
        </w:rPr>
        <w:t>. Add 10 m</w:t>
      </w:r>
      <w:r>
        <w:rPr>
          <w:rFonts w:eastAsia="宋体"/>
          <w:caps/>
          <w:smallCaps w:val="0"/>
          <w:color w:val="000000"/>
          <w:kern w:val="0"/>
          <w:sz w:val="20"/>
          <w:szCs w:val="20"/>
        </w:rPr>
        <w:t>l</w:t>
      </w:r>
      <w:r>
        <w:rPr>
          <w:rFonts w:eastAsia="宋体"/>
          <w:color w:val="000000"/>
          <w:kern w:val="0"/>
          <w:sz w:val="20"/>
          <w:szCs w:val="20"/>
        </w:rPr>
        <w:t xml:space="preserve"> glycerol/</w:t>
      </w:r>
      <w:r>
        <w:rPr>
          <w:rFonts w:eastAsia="宋体"/>
          <w:caps/>
          <w:smallCaps w:val="0"/>
          <w:color w:val="000000"/>
          <w:kern w:val="0"/>
          <w:sz w:val="20"/>
          <w:szCs w:val="20"/>
        </w:rPr>
        <w:t>l</w:t>
      </w:r>
      <w:r>
        <w:rPr>
          <w:rFonts w:eastAsia="宋体"/>
          <w:color w:val="000000"/>
          <w:kern w:val="0"/>
          <w:sz w:val="20"/>
          <w:szCs w:val="20"/>
        </w:rPr>
        <w:t>. Autoclave (15 min at 121 °C).</w:t>
      </w:r>
    </w:p>
    <w:p>
      <w:pPr>
        <w:spacing w:line="320" w:lineRule="exact"/>
        <w:ind w:right="338" w:rightChars="161"/>
        <w:rPr>
          <w:kern w:val="0"/>
          <w:szCs w:val="21"/>
        </w:rPr>
      </w:pPr>
    </w:p>
    <w:p>
      <w:pPr>
        <w:spacing w:line="320" w:lineRule="exact"/>
        <w:ind w:right="338" w:rightChars="161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Quality Control</w:t>
      </w:r>
    </w:p>
    <w:p>
      <w:pPr>
        <w:spacing w:line="320" w:lineRule="exact"/>
        <w:jc w:val="left"/>
        <w:rPr>
          <w:szCs w:val="21"/>
        </w:rPr>
      </w:pPr>
      <w:r>
        <w:rPr>
          <w:rFonts w:eastAsia="微软雅黑"/>
          <w:szCs w:val="21"/>
        </w:rPr>
        <w:t>Cultural characteristics observed after incubation at 35-37°C for 24 hours</w:t>
      </w:r>
    </w:p>
    <w:tbl>
      <w:tblPr>
        <w:tblStyle w:val="11"/>
        <w:tblpPr w:leftFromText="180" w:rightFromText="180" w:vertAnchor="text" w:horzAnchor="margin" w:tblpX="250" w:tblpY="55"/>
        <w:tblOverlap w:val="never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2918"/>
        <w:gridCol w:w="2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" w:hRule="atLeast"/>
        </w:trPr>
        <w:tc>
          <w:tcPr>
            <w:tcW w:w="453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Quality control strains</w:t>
            </w:r>
          </w:p>
        </w:tc>
        <w:tc>
          <w:tcPr>
            <w:tcW w:w="291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Expected Results</w:t>
            </w:r>
          </w:p>
        </w:tc>
        <w:tc>
          <w:tcPr>
            <w:tcW w:w="25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szCs w:val="21"/>
              </w:rPr>
              <w:t>Characteristics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53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Pseudomonas aeruginosa </w:t>
            </w:r>
            <w:r>
              <w:rPr>
                <w:rFonts w:eastAsia="微软雅黑"/>
                <w:iCs/>
                <w:szCs w:val="21"/>
              </w:rPr>
              <w:t>ATCC</w:t>
            </w:r>
            <w:r>
              <w:rPr>
                <w:rFonts w:hint="eastAsia" w:eastAsia="微软雅黑"/>
                <w:iCs/>
                <w:szCs w:val="21"/>
              </w:rPr>
              <w:t>9027</w:t>
            </w:r>
          </w:p>
        </w:tc>
        <w:tc>
          <w:tcPr>
            <w:tcW w:w="291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Good</w:t>
            </w:r>
          </w:p>
        </w:tc>
        <w:tc>
          <w:tcPr>
            <w:tcW w:w="25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yellow-green pigments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53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Pseudomonas aeruginosa </w:t>
            </w:r>
            <w:r>
              <w:rPr>
                <w:rFonts w:eastAsia="微软雅黑"/>
                <w:iCs/>
                <w:szCs w:val="21"/>
              </w:rPr>
              <w:t>ATCC27853</w:t>
            </w:r>
          </w:p>
        </w:tc>
        <w:tc>
          <w:tcPr>
            <w:tcW w:w="2918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eastAsia="微软雅黑"/>
                <w:szCs w:val="21"/>
              </w:rPr>
              <w:t>Good</w:t>
            </w:r>
          </w:p>
        </w:tc>
        <w:tc>
          <w:tcPr>
            <w:tcW w:w="25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yellow-green pigments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53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>Escherichia coli</w:t>
            </w:r>
            <w:r>
              <w:rPr>
                <w:rFonts w:eastAsia="微软雅黑"/>
                <w:iCs/>
                <w:szCs w:val="21"/>
              </w:rPr>
              <w:t xml:space="preserve"> ATCC25922</w:t>
            </w:r>
          </w:p>
        </w:tc>
        <w:tc>
          <w:tcPr>
            <w:tcW w:w="2918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color w:val="000000"/>
                <w:szCs w:val="21"/>
              </w:rPr>
              <w:t xml:space="preserve">Inhibition </w:t>
            </w:r>
          </w:p>
        </w:tc>
        <w:tc>
          <w:tcPr>
            <w:tcW w:w="25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</w:trPr>
        <w:tc>
          <w:tcPr>
            <w:tcW w:w="453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i/>
                <w:szCs w:val="21"/>
              </w:rPr>
            </w:pPr>
            <w:r>
              <w:rPr>
                <w:rFonts w:eastAsia="微软雅黑"/>
                <w:i/>
                <w:szCs w:val="21"/>
              </w:rPr>
              <w:t xml:space="preserve">Staphylococcus aureus </w:t>
            </w:r>
            <w:r>
              <w:rPr>
                <w:rFonts w:eastAsia="微软雅黑"/>
                <w:iCs/>
                <w:szCs w:val="21"/>
              </w:rPr>
              <w:t>ATCC25923</w:t>
            </w:r>
          </w:p>
        </w:tc>
        <w:tc>
          <w:tcPr>
            <w:tcW w:w="2918" w:type="dxa"/>
            <w:shd w:val="clear" w:color="auto" w:fill="FFFFFF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color w:val="000000"/>
                <w:szCs w:val="21"/>
              </w:rPr>
              <w:t xml:space="preserve">Inhibition </w:t>
            </w:r>
          </w:p>
        </w:tc>
        <w:tc>
          <w:tcPr>
            <w:tcW w:w="2501" w:type="dxa"/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eastAsia="微软雅黑"/>
                <w:szCs w:val="21"/>
              </w:rPr>
            </w:pPr>
            <w:r>
              <w:rPr>
                <w:rFonts w:hint="eastAsia" w:eastAsia="微软雅黑"/>
                <w:szCs w:val="21"/>
              </w:rPr>
              <w:t>-</w:t>
            </w:r>
          </w:p>
        </w:tc>
      </w:tr>
    </w:tbl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Storage and Shelf Life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2-30℃，Keep container tightly closed, avoid direct sunlight.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Use before expiry date on the label.</w:t>
      </w: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</w:p>
    <w:p>
      <w:pPr>
        <w:spacing w:line="320" w:lineRule="exact"/>
        <w:ind w:right="985" w:rightChars="469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 Precautions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1. When weighing the dehydrated medium, please wear masks to avoid causing respiratory system discomfort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2. Keep container tightly closed after using to prevent clumping.</w:t>
      </w: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Waste Disposal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  <w:r>
        <w:rPr>
          <w:rFonts w:eastAsia="微软雅黑"/>
          <w:szCs w:val="21"/>
        </w:rPr>
        <w:t>Microbiological contamination was disposed by autoclaving at 121°C for 30 minutes.</w:t>
      </w:r>
    </w:p>
    <w:p>
      <w:pPr>
        <w:spacing w:line="320" w:lineRule="exact"/>
        <w:ind w:right="985" w:rightChars="469"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 xml:space="preserve">Revision </w:t>
      </w:r>
    </w:p>
    <w:p>
      <w:pPr>
        <w:spacing w:line="320" w:lineRule="exact"/>
        <w:ind w:firstLine="105" w:firstLineChars="50"/>
        <w:rPr>
          <w:szCs w:val="21"/>
        </w:rPr>
      </w:pPr>
      <w:r>
        <w:rPr>
          <w:rFonts w:eastAsia="微软雅黑"/>
          <w:szCs w:val="21"/>
        </w:rPr>
        <w:t xml:space="preserve">On </w:t>
      </w:r>
      <w:r>
        <w:rPr>
          <w:rFonts w:hint="eastAsia"/>
          <w:szCs w:val="21"/>
        </w:rPr>
        <w:t>June</w:t>
      </w:r>
      <w:r>
        <w:rPr>
          <w:rFonts w:eastAsia="微软雅黑"/>
          <w:szCs w:val="21"/>
        </w:rPr>
        <w:t xml:space="preserve"> 14, 20</w:t>
      </w:r>
      <w:r>
        <w:rPr>
          <w:rFonts w:hint="eastAsia"/>
          <w:szCs w:val="21"/>
        </w:rPr>
        <w:t>24</w:t>
      </w:r>
    </w:p>
    <w:p>
      <w:pPr>
        <w:spacing w:line="320" w:lineRule="exact"/>
        <w:ind w:firstLine="105" w:firstLineChars="50"/>
        <w:rPr>
          <w:rFonts w:eastAsia="微软雅黑"/>
          <w:szCs w:val="21"/>
        </w:rPr>
      </w:pPr>
    </w:p>
    <w:p>
      <w:pPr>
        <w:spacing w:line="320" w:lineRule="exact"/>
        <w:ind w:firstLine="105" w:firstLineChars="50"/>
        <w:rPr>
          <w:rFonts w:eastAsia="微软雅黑"/>
          <w:b/>
          <w:bCs/>
          <w:szCs w:val="21"/>
        </w:rPr>
      </w:pPr>
      <w:r>
        <w:rPr>
          <w:rFonts w:eastAsia="微软雅黑"/>
          <w:b/>
          <w:bCs/>
          <w:szCs w:val="21"/>
        </w:rPr>
        <w:t>References</w:t>
      </w:r>
    </w:p>
    <w:p>
      <w:pPr>
        <w:autoSpaceDE w:val="0"/>
        <w:autoSpaceDN w:val="0"/>
        <w:adjustRightInd w:val="0"/>
        <w:ind w:left="105" w:leftChars="50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United States Pharmacopoeia 38 NF 33 (2015): &lt;62&gt; Microbiological examination of non-sterile</w:t>
      </w:r>
      <w:r>
        <w:rPr>
          <w:rFonts w:hint="eastAsia" w:eastAsia="微软雅黑"/>
          <w:bCs/>
          <w:szCs w:val="21"/>
        </w:rPr>
        <w:t xml:space="preserve"> </w:t>
      </w:r>
      <w:r>
        <w:rPr>
          <w:rFonts w:eastAsia="微软雅黑"/>
          <w:bCs/>
          <w:szCs w:val="21"/>
        </w:rPr>
        <w:t>products: Tests for specified microorganisms.</w:t>
      </w:r>
    </w:p>
    <w:p>
      <w:pPr>
        <w:autoSpaceDE w:val="0"/>
        <w:autoSpaceDN w:val="0"/>
        <w:adjustRightInd w:val="0"/>
        <w:ind w:left="105" w:leftChars="50"/>
        <w:jc w:val="left"/>
        <w:rPr>
          <w:rFonts w:eastAsia="微软雅黑"/>
          <w:bCs/>
          <w:szCs w:val="21"/>
        </w:rPr>
      </w:pPr>
      <w:r>
        <w:rPr>
          <w:rFonts w:eastAsia="微软雅黑"/>
          <w:bCs/>
          <w:szCs w:val="21"/>
        </w:rPr>
        <w:t>The European Pharmacopoeia. 8th Ed. Chapter 2.6.13 Microbiological examination of non-sterile products: Test for specified products.</w:t>
      </w:r>
    </w:p>
    <w:sectPr>
      <w:headerReference r:id="rId3" w:type="default"/>
      <w:footerReference r:id="rId4" w:type="default"/>
      <w:pgSz w:w="11906" w:h="16838"/>
      <w:pgMar w:top="619" w:right="1109" w:bottom="1800" w:left="1109" w:header="562" w:footer="5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drawing>
        <wp:inline distT="0" distB="0" distL="114300" distR="114300">
          <wp:extent cx="6054725" cy="688975"/>
          <wp:effectExtent l="0" t="0" r="3175" b="9525"/>
          <wp:docPr id="1026059736" name="图片 3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59736" name="图片 3" descr="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547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250395305"/>
      </w:sdtPr>
      <w:sdtContent>
        <w:r>
          <w:rPr>
            <w:lang w:val="zh-CN"/>
          </w:rPr>
          <w:t xml:space="preserve"> </w:t>
        </w:r>
        <w:r>
          <w:rPr>
            <w:rFonts w:hint="eastAsia"/>
            <w:lang w:val="zh-CN"/>
          </w:rPr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zh-CN"/>
          </w:rPr>
          <w:t xml:space="preserve"> /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  <w:r>
      <w:rPr>
        <w:rFonts w:hint="eastAsia" w:ascii="微软雅黑" w:hAnsi="微软雅黑" w:eastAsia="微软雅黑" w:cs="微软雅黑"/>
        <w:b/>
        <w:bCs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4582160</wp:posOffset>
          </wp:positionH>
          <wp:positionV relativeFrom="paragraph">
            <wp:posOffset>5080</wp:posOffset>
          </wp:positionV>
          <wp:extent cx="1371600" cy="763905"/>
          <wp:effectExtent l="0" t="0" r="0" b="0"/>
          <wp:wrapNone/>
          <wp:docPr id="61891113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1113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drawing>
        <wp:inline distT="0" distB="0" distL="114300" distR="114300">
          <wp:extent cx="6052185" cy="1014730"/>
          <wp:effectExtent l="0" t="0" r="5715" b="1270"/>
          <wp:docPr id="133540293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02931" name="图片 1" descr="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52185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iZDNiNzBiNmZlZTgxNTE0YTY0NWVjN2U0NThiNmQifQ=="/>
  </w:docVars>
  <w:rsids>
    <w:rsidRoot w:val="00172A27"/>
    <w:rsid w:val="00004D14"/>
    <w:rsid w:val="00005055"/>
    <w:rsid w:val="0000686F"/>
    <w:rsid w:val="00010318"/>
    <w:rsid w:val="0001079E"/>
    <w:rsid w:val="000233A7"/>
    <w:rsid w:val="00032075"/>
    <w:rsid w:val="000362ED"/>
    <w:rsid w:val="00051FEE"/>
    <w:rsid w:val="000544AF"/>
    <w:rsid w:val="00061CD2"/>
    <w:rsid w:val="00070DE1"/>
    <w:rsid w:val="00072540"/>
    <w:rsid w:val="0008586B"/>
    <w:rsid w:val="0008708E"/>
    <w:rsid w:val="00087ED5"/>
    <w:rsid w:val="000A498E"/>
    <w:rsid w:val="000B2027"/>
    <w:rsid w:val="000C614C"/>
    <w:rsid w:val="000D433F"/>
    <w:rsid w:val="00101159"/>
    <w:rsid w:val="00101BA8"/>
    <w:rsid w:val="001029A7"/>
    <w:rsid w:val="001142F0"/>
    <w:rsid w:val="00134E3F"/>
    <w:rsid w:val="00147276"/>
    <w:rsid w:val="00151ADD"/>
    <w:rsid w:val="001531BA"/>
    <w:rsid w:val="001542D6"/>
    <w:rsid w:val="0015722D"/>
    <w:rsid w:val="0016345D"/>
    <w:rsid w:val="001717B2"/>
    <w:rsid w:val="00172A27"/>
    <w:rsid w:val="00176064"/>
    <w:rsid w:val="00180468"/>
    <w:rsid w:val="00194005"/>
    <w:rsid w:val="001A7479"/>
    <w:rsid w:val="001C29D9"/>
    <w:rsid w:val="001D1291"/>
    <w:rsid w:val="001E0591"/>
    <w:rsid w:val="001E32D3"/>
    <w:rsid w:val="00203A40"/>
    <w:rsid w:val="002146EC"/>
    <w:rsid w:val="00222E66"/>
    <w:rsid w:val="00225986"/>
    <w:rsid w:val="00234644"/>
    <w:rsid w:val="002365AD"/>
    <w:rsid w:val="00236B6A"/>
    <w:rsid w:val="00264D76"/>
    <w:rsid w:val="00271FDE"/>
    <w:rsid w:val="00276ED2"/>
    <w:rsid w:val="00280F43"/>
    <w:rsid w:val="00284B36"/>
    <w:rsid w:val="00287478"/>
    <w:rsid w:val="002977D7"/>
    <w:rsid w:val="002A7833"/>
    <w:rsid w:val="002C1F51"/>
    <w:rsid w:val="002C583B"/>
    <w:rsid w:val="002D25E2"/>
    <w:rsid w:val="00313701"/>
    <w:rsid w:val="00313FBB"/>
    <w:rsid w:val="00314F10"/>
    <w:rsid w:val="003163F9"/>
    <w:rsid w:val="00323297"/>
    <w:rsid w:val="00334561"/>
    <w:rsid w:val="00335926"/>
    <w:rsid w:val="00345842"/>
    <w:rsid w:val="0034602C"/>
    <w:rsid w:val="00362E93"/>
    <w:rsid w:val="003648AC"/>
    <w:rsid w:val="00375DF8"/>
    <w:rsid w:val="0038662C"/>
    <w:rsid w:val="003902D2"/>
    <w:rsid w:val="003962AE"/>
    <w:rsid w:val="003A09E1"/>
    <w:rsid w:val="003A0F03"/>
    <w:rsid w:val="003A4111"/>
    <w:rsid w:val="003B0AD2"/>
    <w:rsid w:val="003B2C01"/>
    <w:rsid w:val="003C1100"/>
    <w:rsid w:val="003C528C"/>
    <w:rsid w:val="003C549B"/>
    <w:rsid w:val="003C77B7"/>
    <w:rsid w:val="003D7CCB"/>
    <w:rsid w:val="003E3725"/>
    <w:rsid w:val="0040562A"/>
    <w:rsid w:val="004076EA"/>
    <w:rsid w:val="00411BFB"/>
    <w:rsid w:val="00417F69"/>
    <w:rsid w:val="004260F9"/>
    <w:rsid w:val="00446EBB"/>
    <w:rsid w:val="004501EF"/>
    <w:rsid w:val="00452368"/>
    <w:rsid w:val="0045701E"/>
    <w:rsid w:val="004721B8"/>
    <w:rsid w:val="0048556A"/>
    <w:rsid w:val="00485AD1"/>
    <w:rsid w:val="00493F9D"/>
    <w:rsid w:val="00495F39"/>
    <w:rsid w:val="004B0299"/>
    <w:rsid w:val="004E2A8E"/>
    <w:rsid w:val="004E5741"/>
    <w:rsid w:val="00513385"/>
    <w:rsid w:val="00516DB5"/>
    <w:rsid w:val="00530669"/>
    <w:rsid w:val="00543E5A"/>
    <w:rsid w:val="00546E31"/>
    <w:rsid w:val="00563485"/>
    <w:rsid w:val="00563EAE"/>
    <w:rsid w:val="00567D4C"/>
    <w:rsid w:val="0057559B"/>
    <w:rsid w:val="0058168F"/>
    <w:rsid w:val="0058412E"/>
    <w:rsid w:val="005A1195"/>
    <w:rsid w:val="005B2006"/>
    <w:rsid w:val="005D0FE8"/>
    <w:rsid w:val="005D183D"/>
    <w:rsid w:val="005E3979"/>
    <w:rsid w:val="005E7958"/>
    <w:rsid w:val="006022BB"/>
    <w:rsid w:val="00611670"/>
    <w:rsid w:val="00612244"/>
    <w:rsid w:val="00622B4F"/>
    <w:rsid w:val="00632886"/>
    <w:rsid w:val="00632C8F"/>
    <w:rsid w:val="00643BB4"/>
    <w:rsid w:val="00653E04"/>
    <w:rsid w:val="00657480"/>
    <w:rsid w:val="006601B2"/>
    <w:rsid w:val="00663BB7"/>
    <w:rsid w:val="006771C0"/>
    <w:rsid w:val="00683162"/>
    <w:rsid w:val="00684F44"/>
    <w:rsid w:val="006908B1"/>
    <w:rsid w:val="00697A41"/>
    <w:rsid w:val="006A1259"/>
    <w:rsid w:val="006B51A3"/>
    <w:rsid w:val="006C09BE"/>
    <w:rsid w:val="006D1B2C"/>
    <w:rsid w:val="006D7597"/>
    <w:rsid w:val="006E381C"/>
    <w:rsid w:val="006F0E29"/>
    <w:rsid w:val="00705846"/>
    <w:rsid w:val="00706158"/>
    <w:rsid w:val="00710872"/>
    <w:rsid w:val="00721D6D"/>
    <w:rsid w:val="007343CF"/>
    <w:rsid w:val="00777C25"/>
    <w:rsid w:val="00786AB3"/>
    <w:rsid w:val="00790014"/>
    <w:rsid w:val="00797AF5"/>
    <w:rsid w:val="007B1BE6"/>
    <w:rsid w:val="007B382B"/>
    <w:rsid w:val="007C7579"/>
    <w:rsid w:val="007D45E1"/>
    <w:rsid w:val="007E079D"/>
    <w:rsid w:val="007E3425"/>
    <w:rsid w:val="007E6302"/>
    <w:rsid w:val="008012DB"/>
    <w:rsid w:val="00811B87"/>
    <w:rsid w:val="00814001"/>
    <w:rsid w:val="00814993"/>
    <w:rsid w:val="00816D51"/>
    <w:rsid w:val="00821585"/>
    <w:rsid w:val="008247DC"/>
    <w:rsid w:val="0083538B"/>
    <w:rsid w:val="00840F85"/>
    <w:rsid w:val="00855948"/>
    <w:rsid w:val="008713ED"/>
    <w:rsid w:val="00877897"/>
    <w:rsid w:val="00883DCD"/>
    <w:rsid w:val="00893675"/>
    <w:rsid w:val="0089661C"/>
    <w:rsid w:val="008B345F"/>
    <w:rsid w:val="008B56C3"/>
    <w:rsid w:val="008C7613"/>
    <w:rsid w:val="008D0A72"/>
    <w:rsid w:val="008D18B8"/>
    <w:rsid w:val="008F61CC"/>
    <w:rsid w:val="008F7643"/>
    <w:rsid w:val="00906BA2"/>
    <w:rsid w:val="00921293"/>
    <w:rsid w:val="009266EB"/>
    <w:rsid w:val="00935A75"/>
    <w:rsid w:val="0093620B"/>
    <w:rsid w:val="0094753B"/>
    <w:rsid w:val="0095515E"/>
    <w:rsid w:val="00962AB2"/>
    <w:rsid w:val="00964BBE"/>
    <w:rsid w:val="00964D45"/>
    <w:rsid w:val="009808EB"/>
    <w:rsid w:val="009865C0"/>
    <w:rsid w:val="00991AEA"/>
    <w:rsid w:val="009932AB"/>
    <w:rsid w:val="0099577F"/>
    <w:rsid w:val="009A19AC"/>
    <w:rsid w:val="009A201A"/>
    <w:rsid w:val="009A2C8C"/>
    <w:rsid w:val="009B5750"/>
    <w:rsid w:val="009C2040"/>
    <w:rsid w:val="009C4698"/>
    <w:rsid w:val="009D5795"/>
    <w:rsid w:val="009E564F"/>
    <w:rsid w:val="009F081A"/>
    <w:rsid w:val="009F3446"/>
    <w:rsid w:val="00A120D3"/>
    <w:rsid w:val="00A14FBE"/>
    <w:rsid w:val="00A213EC"/>
    <w:rsid w:val="00A22549"/>
    <w:rsid w:val="00A2433F"/>
    <w:rsid w:val="00A34E92"/>
    <w:rsid w:val="00A41177"/>
    <w:rsid w:val="00A450F3"/>
    <w:rsid w:val="00A457A8"/>
    <w:rsid w:val="00A47E98"/>
    <w:rsid w:val="00A571BE"/>
    <w:rsid w:val="00A7707D"/>
    <w:rsid w:val="00A806BC"/>
    <w:rsid w:val="00A86CBD"/>
    <w:rsid w:val="00A90D83"/>
    <w:rsid w:val="00A91611"/>
    <w:rsid w:val="00A92C18"/>
    <w:rsid w:val="00A93CD2"/>
    <w:rsid w:val="00AA30C3"/>
    <w:rsid w:val="00AA53EC"/>
    <w:rsid w:val="00AB2CF9"/>
    <w:rsid w:val="00AB6B79"/>
    <w:rsid w:val="00AB6D90"/>
    <w:rsid w:val="00AC3F67"/>
    <w:rsid w:val="00AD31F1"/>
    <w:rsid w:val="00AD4FB6"/>
    <w:rsid w:val="00AE18F1"/>
    <w:rsid w:val="00AE3DFF"/>
    <w:rsid w:val="00AF3128"/>
    <w:rsid w:val="00AF53C9"/>
    <w:rsid w:val="00B028FE"/>
    <w:rsid w:val="00B069D8"/>
    <w:rsid w:val="00B271E5"/>
    <w:rsid w:val="00B30FED"/>
    <w:rsid w:val="00B64AAE"/>
    <w:rsid w:val="00B6552A"/>
    <w:rsid w:val="00B65C9D"/>
    <w:rsid w:val="00B725B8"/>
    <w:rsid w:val="00B74F81"/>
    <w:rsid w:val="00B82E0E"/>
    <w:rsid w:val="00BB12D4"/>
    <w:rsid w:val="00BC574D"/>
    <w:rsid w:val="00BD1022"/>
    <w:rsid w:val="00BE5A7B"/>
    <w:rsid w:val="00BF63EE"/>
    <w:rsid w:val="00C003C4"/>
    <w:rsid w:val="00C01768"/>
    <w:rsid w:val="00C045D0"/>
    <w:rsid w:val="00C10D98"/>
    <w:rsid w:val="00C13B17"/>
    <w:rsid w:val="00C23331"/>
    <w:rsid w:val="00C23C72"/>
    <w:rsid w:val="00C36468"/>
    <w:rsid w:val="00C502D4"/>
    <w:rsid w:val="00C5397D"/>
    <w:rsid w:val="00C717B7"/>
    <w:rsid w:val="00C81E24"/>
    <w:rsid w:val="00C836A5"/>
    <w:rsid w:val="00C91A60"/>
    <w:rsid w:val="00CA00DD"/>
    <w:rsid w:val="00CB2B5A"/>
    <w:rsid w:val="00CB68C9"/>
    <w:rsid w:val="00CC7C5F"/>
    <w:rsid w:val="00CD0152"/>
    <w:rsid w:val="00CD4E52"/>
    <w:rsid w:val="00CE39A9"/>
    <w:rsid w:val="00CF21D2"/>
    <w:rsid w:val="00CF6AB7"/>
    <w:rsid w:val="00D13C2A"/>
    <w:rsid w:val="00D145DB"/>
    <w:rsid w:val="00D156C4"/>
    <w:rsid w:val="00D23EE5"/>
    <w:rsid w:val="00D27A39"/>
    <w:rsid w:val="00D4003A"/>
    <w:rsid w:val="00D41F06"/>
    <w:rsid w:val="00D542FF"/>
    <w:rsid w:val="00D54397"/>
    <w:rsid w:val="00D601BF"/>
    <w:rsid w:val="00D65CE8"/>
    <w:rsid w:val="00D67448"/>
    <w:rsid w:val="00D72BC2"/>
    <w:rsid w:val="00D80C42"/>
    <w:rsid w:val="00D80E3A"/>
    <w:rsid w:val="00D8695E"/>
    <w:rsid w:val="00D974C5"/>
    <w:rsid w:val="00DC001C"/>
    <w:rsid w:val="00DC04F4"/>
    <w:rsid w:val="00DD2EB3"/>
    <w:rsid w:val="00DF443B"/>
    <w:rsid w:val="00E129EB"/>
    <w:rsid w:val="00E21CB8"/>
    <w:rsid w:val="00E30B4D"/>
    <w:rsid w:val="00E357D3"/>
    <w:rsid w:val="00E419D9"/>
    <w:rsid w:val="00E43238"/>
    <w:rsid w:val="00E50886"/>
    <w:rsid w:val="00E518D8"/>
    <w:rsid w:val="00E55294"/>
    <w:rsid w:val="00E55F34"/>
    <w:rsid w:val="00E80830"/>
    <w:rsid w:val="00E84589"/>
    <w:rsid w:val="00E85DD2"/>
    <w:rsid w:val="00E85F73"/>
    <w:rsid w:val="00E862D7"/>
    <w:rsid w:val="00E93811"/>
    <w:rsid w:val="00E95756"/>
    <w:rsid w:val="00E95C07"/>
    <w:rsid w:val="00EB0DDC"/>
    <w:rsid w:val="00EC0A76"/>
    <w:rsid w:val="00ED4F52"/>
    <w:rsid w:val="00ED75CA"/>
    <w:rsid w:val="00EE340B"/>
    <w:rsid w:val="00EE499D"/>
    <w:rsid w:val="00EE61DA"/>
    <w:rsid w:val="00EE649E"/>
    <w:rsid w:val="00F036FD"/>
    <w:rsid w:val="00F066DC"/>
    <w:rsid w:val="00F06E07"/>
    <w:rsid w:val="00F17718"/>
    <w:rsid w:val="00F25220"/>
    <w:rsid w:val="00F2683C"/>
    <w:rsid w:val="00F4125B"/>
    <w:rsid w:val="00F425C6"/>
    <w:rsid w:val="00F6082C"/>
    <w:rsid w:val="00F650E7"/>
    <w:rsid w:val="00F663BC"/>
    <w:rsid w:val="00F667E4"/>
    <w:rsid w:val="00F72E81"/>
    <w:rsid w:val="00F94DEB"/>
    <w:rsid w:val="00FA204C"/>
    <w:rsid w:val="00FD19E2"/>
    <w:rsid w:val="00FD4F3C"/>
    <w:rsid w:val="00FD6A0D"/>
    <w:rsid w:val="00FD769B"/>
    <w:rsid w:val="489C4AEB"/>
    <w:rsid w:val="51A13431"/>
    <w:rsid w:val="53405885"/>
    <w:rsid w:val="60C14A11"/>
    <w:rsid w:val="7C8D2AD0"/>
    <w:rsid w:val="F38D3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qFormat/>
    <w:uiPriority w:val="0"/>
    <w:rPr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Unresolved Mention1"/>
    <w:basedOn w:val="7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1625</Characters>
  <Lines>13</Lines>
  <Paragraphs>3</Paragraphs>
  <TotalTime>0</TotalTime>
  <ScaleCrop>false</ScaleCrop>
  <LinksUpToDate>false</LinksUpToDate>
  <CharactersWithSpaces>1906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2024-10-30T16:42:00Z</dcterms:created>
  <dc:creator>huankai1</dc:creator>
  <cp:lastModifiedBy>a</cp:lastModifiedBy>
  <cp:lastPrinted>2019-05-14T15:26:00Z</cp:lastPrinted>
  <dcterms:modified xsi:type="dcterms:W3CDTF">2024-12-06T18:27:27Z</dcterms:modified>
  <dc:title>CRM012　金黄色葡萄球菌显色培养基说明书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  <property fmtid="{D5CDD505-2E9C-101B-9397-08002B2CF9AE}" pid="3" name="ICV">
    <vt:lpwstr>EEA4FA7617ED46B397232B3D1562B7E3_13</vt:lpwstr>
  </property>
</Properties>
</file>