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3405" w:firstLineChars="945"/>
        <w:rPr>
          <w:rFonts w:eastAsia="微软雅黑"/>
          <w:b/>
          <w:bCs/>
          <w:sz w:val="36"/>
          <w:szCs w:val="36"/>
        </w:rPr>
      </w:pPr>
    </w:p>
    <w:p>
      <w:pPr>
        <w:spacing w:line="320" w:lineRule="exact"/>
        <w:ind w:firstLine="1982" w:firstLineChars="550"/>
        <w:rPr>
          <w:rFonts w:hint="eastAsia"/>
          <w:b/>
          <w:bCs/>
          <w:sz w:val="36"/>
          <w:szCs w:val="36"/>
        </w:rPr>
      </w:pPr>
      <w:r>
        <w:rPr>
          <w:rFonts w:eastAsia="微软雅黑"/>
          <w:b/>
          <w:bCs/>
          <w:sz w:val="36"/>
          <w:szCs w:val="36"/>
        </w:rPr>
        <w:t>Tryptose Sulfite Cycloserine Agar Base</w:t>
      </w:r>
    </w:p>
    <w:p>
      <w:pPr>
        <w:spacing w:line="320" w:lineRule="exact"/>
        <w:ind w:firstLine="1146" w:firstLineChars="545"/>
        <w:jc w:val="center"/>
        <w:rPr>
          <w:b/>
          <w:bCs/>
          <w:szCs w:val="21"/>
        </w:rPr>
      </w:pPr>
    </w:p>
    <w:tbl>
      <w:tblPr>
        <w:tblStyle w:val="13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HCM025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>
      <w:pPr>
        <w:spacing w:line="320" w:lineRule="exact"/>
        <w:ind w:right="338" w:rightChars="161"/>
        <w:rPr>
          <w:rFonts w:hint="eastAsia" w:eastAsia="微软雅黑"/>
          <w:bCs/>
          <w:szCs w:val="21"/>
        </w:rPr>
      </w:pPr>
      <w:r>
        <w:rPr>
          <w:kern w:val="0"/>
          <w:szCs w:val="21"/>
        </w:rPr>
        <w:t>For the isolation and enumeration of the vegetative and spore forms of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Clostridium perfringens in foodstuffs and other materials</w:t>
      </w:r>
      <w:r>
        <w:rPr>
          <w:rFonts w:hint="eastAsia"/>
          <w:kern w:val="0"/>
          <w:szCs w:val="21"/>
        </w:rPr>
        <w:t>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>
      <w:pPr>
        <w:spacing w:line="320" w:lineRule="exact"/>
        <w:rPr>
          <w:kern w:val="0"/>
          <w:szCs w:val="21"/>
        </w:rPr>
      </w:pPr>
      <w:r>
        <w:rPr>
          <w:kern w:val="0"/>
          <w:szCs w:val="21"/>
        </w:rPr>
        <w:t>Tryptose, soy peptone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and yeast extract powder provide carbon and nitrogen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sources, vitamins and growth factors; glucose and lactose provide carbon sources for fermentable sugars; sodium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metabisulfite and ammonium ferric citrate are used to detect the production of hydrogen sulfide, making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the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center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of the colony black; egg yolk contains lecithin, which can detect certain clostridia containing lecithinase; agar is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coagulant for the culture medium; D-cycloserine inhibits non-clostridia bacteri</w:t>
      </w:r>
      <w:r>
        <w:rPr>
          <w:rFonts w:hint="eastAsia"/>
          <w:kern w:val="0"/>
          <w:szCs w:val="21"/>
        </w:rPr>
        <w:t>a</w:t>
      </w:r>
      <w:r>
        <w:rPr>
          <w:kern w:val="0"/>
          <w:szCs w:val="21"/>
        </w:rPr>
        <w:t>.</w:t>
      </w:r>
    </w:p>
    <w:p>
      <w:pPr>
        <w:spacing w:line="320" w:lineRule="exact"/>
        <w:ind w:left="90" w:leftChars="43"/>
        <w:rPr>
          <w:rFonts w:eastAsia="微软雅黑"/>
          <w:bCs/>
          <w:szCs w:val="21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13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Tryptose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15.0</w:t>
            </w:r>
            <w:r>
              <w:rPr>
                <w:bCs/>
                <w:color w:val="000000"/>
                <w:szCs w:val="21"/>
              </w:rPr>
              <w:t>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Yeast extract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hint="eastAsia"/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Soya peptone </w:t>
            </w:r>
            <w:r>
              <w:rPr>
                <w:rFonts w:hint="eastAsia"/>
                <w:bCs/>
                <w:color w:val="000000"/>
                <w:szCs w:val="21"/>
              </w:rPr>
              <w:t>(</w:t>
            </w:r>
            <w:r>
              <w:rPr>
                <w:bCs/>
                <w:color w:val="000000"/>
                <w:szCs w:val="21"/>
              </w:rPr>
              <w:t>Soytone</w:t>
            </w:r>
            <w:r>
              <w:rPr>
                <w:rFonts w:hint="eastAsia"/>
                <w:bCs/>
                <w:color w:val="000000"/>
                <w:szCs w:val="21"/>
              </w:rPr>
              <w:t>)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5.0g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Ferric ammonium citrate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Sodium metabisulfite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1.0g</w:t>
            </w:r>
          </w:p>
        </w:tc>
      </w:tr>
      <w:tr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Agar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15.0g</w:t>
            </w:r>
          </w:p>
        </w:tc>
      </w:tr>
      <w:tr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eastAsia"/>
                <w:bCs/>
                <w:color w:val="000000"/>
                <w:szCs w:val="21"/>
              </w:rPr>
              <w:t>7.4</w:t>
            </w:r>
            <w:r>
              <w:rPr>
                <w:rFonts w:eastAsia="微软雅黑"/>
                <w:bCs/>
                <w:color w:val="000000"/>
                <w:szCs w:val="21"/>
              </w:rPr>
              <w:t>±0.2 at 25°C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</w:p>
    <w:p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kern w:val="0"/>
          <w:szCs w:val="21"/>
        </w:rPr>
        <w:t>Suspend</w:t>
      </w:r>
      <w:r>
        <w:rPr>
          <w:rFonts w:hint="eastAsia"/>
          <w:kern w:val="0"/>
          <w:szCs w:val="21"/>
        </w:rPr>
        <w:t xml:space="preserve"> 42g of dry powder of this product, add 1L of distilled water or deionized water, stir, heat and boil until completely dissolved, divide into Erlenmeyer bottles.</w:t>
      </w:r>
      <w:r>
        <w:rPr>
          <w:kern w:val="0"/>
          <w:szCs w:val="21"/>
        </w:rPr>
        <w:t xml:space="preserve"> Sterilize by autoclaving at</w:t>
      </w:r>
      <w:r>
        <w:rPr>
          <w:rFonts w:hint="eastAsia"/>
          <w:kern w:val="0"/>
          <w:szCs w:val="21"/>
        </w:rPr>
        <w:t xml:space="preserve"> 121℃ for 15min, cool to about 50℃, add 1 bottle of matching reagent (SR0290) for</w:t>
      </w:r>
      <w:r>
        <w:rPr>
          <w:kern w:val="0"/>
          <w:szCs w:val="21"/>
        </w:rPr>
        <w:t xml:space="preserve"> every 100mL culture medium, </w:t>
      </w:r>
      <w:r>
        <w:rPr>
          <w:rFonts w:hint="eastAsia"/>
          <w:kern w:val="0"/>
          <w:szCs w:val="21"/>
        </w:rPr>
        <w:t>mix</w:t>
      </w:r>
      <w:r>
        <w:rPr>
          <w:kern w:val="0"/>
          <w:szCs w:val="21"/>
        </w:rPr>
        <w:t xml:space="preserve"> well, and pour into sterile culture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dishes for later use.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>
      <w:pPr>
        <w:spacing w:line="320" w:lineRule="exact"/>
        <w:jc w:val="left"/>
        <w:rPr>
          <w:szCs w:val="21"/>
        </w:rPr>
      </w:pPr>
      <w:r>
        <w:rPr>
          <w:rFonts w:eastAsia="微软雅黑"/>
          <w:szCs w:val="21"/>
        </w:rPr>
        <w:t>Cultural characteristics observed after an incubation at 35-37°C for 24 hours</w:t>
      </w:r>
    </w:p>
    <w:tbl>
      <w:tblPr>
        <w:tblStyle w:val="13"/>
        <w:tblpPr w:leftFromText="180" w:rightFromText="180" w:vertAnchor="text" w:horzAnchor="margin" w:tblpX="250" w:tblpY="55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1417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436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sz w:val="18"/>
                <w:szCs w:val="18"/>
              </w:rPr>
              <w:t>Growth</w:t>
            </w: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sz w:val="18"/>
                <w:szCs w:val="18"/>
              </w:rPr>
              <w:t>Characteristics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436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Clostridium perfringens</w:t>
            </w:r>
            <w:r>
              <w:rPr>
                <w:rFonts w:eastAsia="微软雅黑"/>
                <w:iCs/>
                <w:szCs w:val="21"/>
              </w:rPr>
              <w:t xml:space="preserve"> ATCC13124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good</w:t>
            </w: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Black colonies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436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Escherichia coli</w:t>
            </w:r>
            <w:r>
              <w:rPr>
                <w:rFonts w:hint="eastAsia" w:eastAsia="微软雅黑"/>
                <w:i/>
                <w:szCs w:val="21"/>
              </w:rPr>
              <w:t xml:space="preserve"> </w:t>
            </w:r>
            <w:r>
              <w:rPr>
                <w:rFonts w:eastAsia="微软雅黑"/>
                <w:iCs/>
                <w:szCs w:val="21"/>
              </w:rPr>
              <w:t>ATCC</w:t>
            </w:r>
            <w:r>
              <w:rPr>
                <w:rFonts w:hint="eastAsia" w:eastAsia="微软雅黑"/>
                <w:iCs/>
                <w:szCs w:val="21"/>
              </w:rPr>
              <w:t>25922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none</w:t>
            </w:r>
          </w:p>
        </w:tc>
        <w:tc>
          <w:tcPr>
            <w:tcW w:w="3402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/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>
      <w:pPr>
        <w:spacing w:line="320" w:lineRule="exact"/>
        <w:ind w:firstLine="163" w:firstLineChars="78"/>
        <w:rPr>
          <w:rFonts w:hint="eastAsia" w:eastAsia="微软雅黑"/>
          <w:szCs w:val="21"/>
        </w:rPr>
      </w:pPr>
      <w:r>
        <w:rPr>
          <w:rFonts w:eastAsia="微软雅黑"/>
          <w:szCs w:val="21"/>
        </w:rPr>
        <w:t>BAM Media M</w:t>
      </w:r>
      <w:r>
        <w:rPr>
          <w:rFonts w:hint="eastAsia" w:eastAsia="微软雅黑"/>
          <w:szCs w:val="21"/>
        </w:rPr>
        <w:t>169</w:t>
      </w:r>
    </w:p>
    <w:p>
      <w:pPr>
        <w:spacing w:line="320" w:lineRule="exact"/>
        <w:ind w:firstLine="163" w:firstLineChars="78"/>
      </w:pPr>
      <w:r>
        <w:t>ISO 7937</w:t>
      </w:r>
    </w:p>
    <w:p>
      <w:pPr>
        <w:spacing w:line="320" w:lineRule="exact"/>
        <w:ind w:firstLine="163" w:firstLineChars="78"/>
        <w:rPr>
          <w:rFonts w:hint="eastAsia"/>
        </w:rPr>
      </w:pPr>
      <w:r>
        <w:t>ISO 14189</w:t>
      </w:r>
    </w:p>
    <w:sectPr>
      <w:headerReference r:id="rId3" w:type="default"/>
      <w:footerReference r:id="rId4" w:type="default"/>
      <w:pgSz w:w="11906" w:h="16838"/>
      <w:pgMar w:top="619" w:right="84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  <w:bookmarkStart w:id="0" w:name="_GoBack"/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4771390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2048102076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102076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1314"/>
    <w:rsid w:val="00002C48"/>
    <w:rsid w:val="00004D14"/>
    <w:rsid w:val="00005055"/>
    <w:rsid w:val="0000686F"/>
    <w:rsid w:val="00010318"/>
    <w:rsid w:val="0001079E"/>
    <w:rsid w:val="000233A7"/>
    <w:rsid w:val="00024C64"/>
    <w:rsid w:val="00026A4C"/>
    <w:rsid w:val="00034C0E"/>
    <w:rsid w:val="000362ED"/>
    <w:rsid w:val="00051FEE"/>
    <w:rsid w:val="000544AF"/>
    <w:rsid w:val="00061CD2"/>
    <w:rsid w:val="00070DE1"/>
    <w:rsid w:val="00072540"/>
    <w:rsid w:val="0008586B"/>
    <w:rsid w:val="00085AB9"/>
    <w:rsid w:val="0008708E"/>
    <w:rsid w:val="00087ED5"/>
    <w:rsid w:val="000A498E"/>
    <w:rsid w:val="000B2027"/>
    <w:rsid w:val="000B6E42"/>
    <w:rsid w:val="000C614C"/>
    <w:rsid w:val="000D433F"/>
    <w:rsid w:val="000D767E"/>
    <w:rsid w:val="00101019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39E"/>
    <w:rsid w:val="00180468"/>
    <w:rsid w:val="00182B1E"/>
    <w:rsid w:val="00194005"/>
    <w:rsid w:val="001A7479"/>
    <w:rsid w:val="001B4016"/>
    <w:rsid w:val="001C29D9"/>
    <w:rsid w:val="001C2CB2"/>
    <w:rsid w:val="001D1291"/>
    <w:rsid w:val="001E0591"/>
    <w:rsid w:val="001E32D3"/>
    <w:rsid w:val="001F1B7B"/>
    <w:rsid w:val="00203A40"/>
    <w:rsid w:val="00204C8A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3373"/>
    <w:rsid w:val="00284B36"/>
    <w:rsid w:val="00284D0A"/>
    <w:rsid w:val="00287478"/>
    <w:rsid w:val="002904C2"/>
    <w:rsid w:val="00290E65"/>
    <w:rsid w:val="00294378"/>
    <w:rsid w:val="002977D7"/>
    <w:rsid w:val="00297DC0"/>
    <w:rsid w:val="002A1A31"/>
    <w:rsid w:val="002A3F76"/>
    <w:rsid w:val="002A7833"/>
    <w:rsid w:val="002C1F51"/>
    <w:rsid w:val="002C583B"/>
    <w:rsid w:val="002D066B"/>
    <w:rsid w:val="002D25E2"/>
    <w:rsid w:val="002D78D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5396A"/>
    <w:rsid w:val="00362E93"/>
    <w:rsid w:val="00364339"/>
    <w:rsid w:val="003648AC"/>
    <w:rsid w:val="00366D5F"/>
    <w:rsid w:val="00375DF8"/>
    <w:rsid w:val="0038662C"/>
    <w:rsid w:val="003902D2"/>
    <w:rsid w:val="00390902"/>
    <w:rsid w:val="003962AE"/>
    <w:rsid w:val="003A09E1"/>
    <w:rsid w:val="003A0F03"/>
    <w:rsid w:val="003A4111"/>
    <w:rsid w:val="003B0AD2"/>
    <w:rsid w:val="003B2C01"/>
    <w:rsid w:val="003C1100"/>
    <w:rsid w:val="003C3F28"/>
    <w:rsid w:val="003C528C"/>
    <w:rsid w:val="003C549B"/>
    <w:rsid w:val="003C77B7"/>
    <w:rsid w:val="003D3740"/>
    <w:rsid w:val="003D7CCB"/>
    <w:rsid w:val="003E3725"/>
    <w:rsid w:val="003F4DFC"/>
    <w:rsid w:val="00403221"/>
    <w:rsid w:val="0040562A"/>
    <w:rsid w:val="00407090"/>
    <w:rsid w:val="004076EA"/>
    <w:rsid w:val="0041053E"/>
    <w:rsid w:val="00411BFB"/>
    <w:rsid w:val="0041649F"/>
    <w:rsid w:val="00416E30"/>
    <w:rsid w:val="00417F69"/>
    <w:rsid w:val="004260F9"/>
    <w:rsid w:val="00436544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B755F"/>
    <w:rsid w:val="004E2A8E"/>
    <w:rsid w:val="004E5741"/>
    <w:rsid w:val="00513385"/>
    <w:rsid w:val="005161AE"/>
    <w:rsid w:val="00516DB5"/>
    <w:rsid w:val="0052432A"/>
    <w:rsid w:val="00525308"/>
    <w:rsid w:val="00543E5A"/>
    <w:rsid w:val="00544E22"/>
    <w:rsid w:val="00546E31"/>
    <w:rsid w:val="00563EAE"/>
    <w:rsid w:val="00564994"/>
    <w:rsid w:val="00565647"/>
    <w:rsid w:val="00567D4C"/>
    <w:rsid w:val="00572FD7"/>
    <w:rsid w:val="00574BB9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D7AD0"/>
    <w:rsid w:val="005E3979"/>
    <w:rsid w:val="005E54AF"/>
    <w:rsid w:val="005F5C95"/>
    <w:rsid w:val="005F5F57"/>
    <w:rsid w:val="006022BB"/>
    <w:rsid w:val="00611670"/>
    <w:rsid w:val="00612244"/>
    <w:rsid w:val="00622B4F"/>
    <w:rsid w:val="00623B08"/>
    <w:rsid w:val="00632552"/>
    <w:rsid w:val="00632886"/>
    <w:rsid w:val="00632C8F"/>
    <w:rsid w:val="00643BB4"/>
    <w:rsid w:val="00657480"/>
    <w:rsid w:val="006601B2"/>
    <w:rsid w:val="00663BB7"/>
    <w:rsid w:val="006771C0"/>
    <w:rsid w:val="00683162"/>
    <w:rsid w:val="00684707"/>
    <w:rsid w:val="00684F44"/>
    <w:rsid w:val="006908B1"/>
    <w:rsid w:val="00697A41"/>
    <w:rsid w:val="006A1259"/>
    <w:rsid w:val="006A2070"/>
    <w:rsid w:val="006B51A3"/>
    <w:rsid w:val="006B701B"/>
    <w:rsid w:val="006B7E55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15DD"/>
    <w:rsid w:val="007343CF"/>
    <w:rsid w:val="007450B0"/>
    <w:rsid w:val="007644F6"/>
    <w:rsid w:val="007649F6"/>
    <w:rsid w:val="00777C25"/>
    <w:rsid w:val="00786AB3"/>
    <w:rsid w:val="00790014"/>
    <w:rsid w:val="00793E5A"/>
    <w:rsid w:val="00797AF5"/>
    <w:rsid w:val="007B0DF9"/>
    <w:rsid w:val="007B1BE6"/>
    <w:rsid w:val="007B382B"/>
    <w:rsid w:val="007B5ACF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3B88"/>
    <w:rsid w:val="008247DC"/>
    <w:rsid w:val="0083538B"/>
    <w:rsid w:val="00840F85"/>
    <w:rsid w:val="00855948"/>
    <w:rsid w:val="00867C6A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6245"/>
    <w:rsid w:val="008F7643"/>
    <w:rsid w:val="009038BF"/>
    <w:rsid w:val="00906BA2"/>
    <w:rsid w:val="00911F26"/>
    <w:rsid w:val="00921293"/>
    <w:rsid w:val="009266EB"/>
    <w:rsid w:val="0093620B"/>
    <w:rsid w:val="00940F43"/>
    <w:rsid w:val="0094753B"/>
    <w:rsid w:val="0095515E"/>
    <w:rsid w:val="00962AB2"/>
    <w:rsid w:val="00964BBE"/>
    <w:rsid w:val="00964D45"/>
    <w:rsid w:val="009755B9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152A"/>
    <w:rsid w:val="009C2040"/>
    <w:rsid w:val="009C27A6"/>
    <w:rsid w:val="009C4698"/>
    <w:rsid w:val="009D5795"/>
    <w:rsid w:val="009E564F"/>
    <w:rsid w:val="009F081A"/>
    <w:rsid w:val="009F0DEF"/>
    <w:rsid w:val="009F6E88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637A1"/>
    <w:rsid w:val="00A7707D"/>
    <w:rsid w:val="00A806BC"/>
    <w:rsid w:val="00A86CBD"/>
    <w:rsid w:val="00A90D83"/>
    <w:rsid w:val="00A91611"/>
    <w:rsid w:val="00A92C18"/>
    <w:rsid w:val="00A93CD2"/>
    <w:rsid w:val="00A95293"/>
    <w:rsid w:val="00AA30C3"/>
    <w:rsid w:val="00AA46C9"/>
    <w:rsid w:val="00AA53EC"/>
    <w:rsid w:val="00AB2CF9"/>
    <w:rsid w:val="00AB6B79"/>
    <w:rsid w:val="00AB6D90"/>
    <w:rsid w:val="00AC3F67"/>
    <w:rsid w:val="00AC4BC0"/>
    <w:rsid w:val="00AD31F1"/>
    <w:rsid w:val="00AD3E29"/>
    <w:rsid w:val="00AD4FB6"/>
    <w:rsid w:val="00AE18F1"/>
    <w:rsid w:val="00AE3DFF"/>
    <w:rsid w:val="00AE6B54"/>
    <w:rsid w:val="00AF129A"/>
    <w:rsid w:val="00AF3128"/>
    <w:rsid w:val="00AF53C9"/>
    <w:rsid w:val="00AF6A99"/>
    <w:rsid w:val="00B069D8"/>
    <w:rsid w:val="00B17AB5"/>
    <w:rsid w:val="00B271E5"/>
    <w:rsid w:val="00B30FED"/>
    <w:rsid w:val="00B537F3"/>
    <w:rsid w:val="00B64AAE"/>
    <w:rsid w:val="00B6552A"/>
    <w:rsid w:val="00B65C9D"/>
    <w:rsid w:val="00B74F81"/>
    <w:rsid w:val="00B82E0E"/>
    <w:rsid w:val="00B954E9"/>
    <w:rsid w:val="00BA46F8"/>
    <w:rsid w:val="00BB12D4"/>
    <w:rsid w:val="00BC574D"/>
    <w:rsid w:val="00BD1022"/>
    <w:rsid w:val="00BE5A7B"/>
    <w:rsid w:val="00BF1873"/>
    <w:rsid w:val="00BF63EE"/>
    <w:rsid w:val="00C003C4"/>
    <w:rsid w:val="00C01768"/>
    <w:rsid w:val="00C045D0"/>
    <w:rsid w:val="00C10D98"/>
    <w:rsid w:val="00C13B17"/>
    <w:rsid w:val="00C14C77"/>
    <w:rsid w:val="00C23331"/>
    <w:rsid w:val="00C23C72"/>
    <w:rsid w:val="00C36468"/>
    <w:rsid w:val="00C502D4"/>
    <w:rsid w:val="00C53400"/>
    <w:rsid w:val="00C5397D"/>
    <w:rsid w:val="00C717B7"/>
    <w:rsid w:val="00C81E24"/>
    <w:rsid w:val="00C82E91"/>
    <w:rsid w:val="00C836A5"/>
    <w:rsid w:val="00C8459D"/>
    <w:rsid w:val="00C91A60"/>
    <w:rsid w:val="00CA00DD"/>
    <w:rsid w:val="00CB2B5A"/>
    <w:rsid w:val="00CB68C9"/>
    <w:rsid w:val="00CC6CF1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053E"/>
    <w:rsid w:val="00D23EE5"/>
    <w:rsid w:val="00D27A39"/>
    <w:rsid w:val="00D346B6"/>
    <w:rsid w:val="00D41F06"/>
    <w:rsid w:val="00D4502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25B9"/>
    <w:rsid w:val="00D8512F"/>
    <w:rsid w:val="00D868A3"/>
    <w:rsid w:val="00D8695E"/>
    <w:rsid w:val="00D91B62"/>
    <w:rsid w:val="00D974C5"/>
    <w:rsid w:val="00DB2063"/>
    <w:rsid w:val="00DB44DC"/>
    <w:rsid w:val="00DC001C"/>
    <w:rsid w:val="00DC04F4"/>
    <w:rsid w:val="00DD2EB3"/>
    <w:rsid w:val="00DD44E9"/>
    <w:rsid w:val="00DD542A"/>
    <w:rsid w:val="00DE5109"/>
    <w:rsid w:val="00DF443B"/>
    <w:rsid w:val="00DF7CBD"/>
    <w:rsid w:val="00E072A3"/>
    <w:rsid w:val="00E107FA"/>
    <w:rsid w:val="00E129EB"/>
    <w:rsid w:val="00E1656C"/>
    <w:rsid w:val="00E21CB8"/>
    <w:rsid w:val="00E25591"/>
    <w:rsid w:val="00E30B4D"/>
    <w:rsid w:val="00E357D3"/>
    <w:rsid w:val="00E419D9"/>
    <w:rsid w:val="00E43238"/>
    <w:rsid w:val="00E50886"/>
    <w:rsid w:val="00E518D8"/>
    <w:rsid w:val="00E5330F"/>
    <w:rsid w:val="00E55294"/>
    <w:rsid w:val="00E55F34"/>
    <w:rsid w:val="00E56795"/>
    <w:rsid w:val="00E65C37"/>
    <w:rsid w:val="00E77E30"/>
    <w:rsid w:val="00E80830"/>
    <w:rsid w:val="00E84589"/>
    <w:rsid w:val="00E85DD2"/>
    <w:rsid w:val="00E85F73"/>
    <w:rsid w:val="00E862D7"/>
    <w:rsid w:val="00E9358B"/>
    <w:rsid w:val="00E93811"/>
    <w:rsid w:val="00E95756"/>
    <w:rsid w:val="00E95C07"/>
    <w:rsid w:val="00E964E1"/>
    <w:rsid w:val="00EB0B96"/>
    <w:rsid w:val="00EB0DDC"/>
    <w:rsid w:val="00EC0A76"/>
    <w:rsid w:val="00EC65EB"/>
    <w:rsid w:val="00ED2332"/>
    <w:rsid w:val="00ED4F52"/>
    <w:rsid w:val="00ED75CA"/>
    <w:rsid w:val="00EE340B"/>
    <w:rsid w:val="00EE499D"/>
    <w:rsid w:val="00EE61DA"/>
    <w:rsid w:val="00EE649E"/>
    <w:rsid w:val="00EF4007"/>
    <w:rsid w:val="00F036FD"/>
    <w:rsid w:val="00F0639E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76498"/>
    <w:rsid w:val="00F84014"/>
    <w:rsid w:val="00F85DE7"/>
    <w:rsid w:val="00F862A5"/>
    <w:rsid w:val="00F94DEB"/>
    <w:rsid w:val="00F965A7"/>
    <w:rsid w:val="00FA204C"/>
    <w:rsid w:val="00FD19E2"/>
    <w:rsid w:val="00FD4F3C"/>
    <w:rsid w:val="00FD6A0D"/>
    <w:rsid w:val="00FD769B"/>
    <w:rsid w:val="00FE2E1A"/>
    <w:rsid w:val="00FE60D4"/>
    <w:rsid w:val="00FE63DB"/>
    <w:rsid w:val="0F7575B6"/>
    <w:rsid w:val="489C4AEB"/>
    <w:rsid w:val="51A13431"/>
    <w:rsid w:val="53405885"/>
    <w:rsid w:val="60C14A11"/>
    <w:rsid w:val="7C8D2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qFormat/>
    <w:uiPriority w:val="0"/>
    <w:rPr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basedOn w:val="9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7">
    <w:name w:val="Unresolved Mention1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Unresolved Mention"/>
    <w:basedOn w:val="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1776</Characters>
  <Lines>14</Lines>
  <Paragraphs>4</Paragraphs>
  <TotalTime>0</TotalTime>
  <ScaleCrop>false</ScaleCrop>
  <LinksUpToDate>false</LinksUpToDate>
  <CharactersWithSpaces>2083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2024-11-14T14:06:00Z</dcterms:created>
  <dc:creator>huankai1</dc:creator>
  <cp:lastModifiedBy>a</cp:lastModifiedBy>
  <cp:lastPrinted>2019-05-14T15:26:00Z</cp:lastPrinted>
  <dcterms:modified xsi:type="dcterms:W3CDTF">2024-12-04T15:31:43Z</dcterms:modified>
  <dc:title>CRM012　金黄色葡萄球菌显色培养基说明书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